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after="0" w:line="240" w:lineRule="auto"/>
        <w:ind w:firstLine="0" w:left="6663"/>
        <w:jc w:val="center"/>
        <w:rPr>
          <w:rFonts w:ascii="Times New Roman" w:hAnsi="Times New Roman"/>
          <w:sz w:val="16"/>
        </w:rPr>
      </w:pPr>
    </w:p>
    <w:p w14:paraId="02000000">
      <w:pPr>
        <w:spacing w:after="0" w:line="240" w:lineRule="auto"/>
        <w:ind w:firstLine="0" w:left="6663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Утверждаю</w:t>
      </w:r>
    </w:p>
    <w:p w14:paraId="03000000">
      <w:pPr>
        <w:spacing w:after="0" w:line="240" w:lineRule="auto"/>
        <w:ind w:firstLine="0" w:left="6663"/>
        <w:jc w:val="center"/>
        <w:rPr>
          <w:rFonts w:ascii="Times New Roman" w:hAnsi="Times New Roman"/>
          <w:i w:val="1"/>
          <w:sz w:val="24"/>
        </w:rPr>
      </w:pPr>
      <w:r>
        <w:rPr>
          <w:rFonts w:ascii="Times New Roman" w:hAnsi="Times New Roman"/>
          <w:i w:val="1"/>
          <w:sz w:val="24"/>
        </w:rPr>
        <w:t>Директор ГАПОУ КК КГТК</w:t>
      </w:r>
    </w:p>
    <w:p w14:paraId="04000000">
      <w:pPr>
        <w:spacing w:after="0" w:line="240" w:lineRule="auto"/>
        <w:ind w:firstLine="0" w:left="5954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</w:t>
      </w:r>
    </w:p>
    <w:p w14:paraId="05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Правила обмена деловыми подарками</w:t>
      </w:r>
    </w:p>
    <w:p w14:paraId="06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и знаками делового гостеприимства</w:t>
      </w:r>
    </w:p>
    <w:p w14:paraId="07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в ГАПОУ КК «Краснодарский гуманитарно-технологический колледж»</w:t>
      </w:r>
    </w:p>
    <w:p w14:paraId="08000000">
      <w:pPr>
        <w:ind/>
        <w:jc w:val="center"/>
        <w:rPr>
          <w:rFonts w:ascii="Times New Roman" w:hAnsi="Times New Roman"/>
          <w:i w:val="1"/>
          <w:sz w:val="20"/>
        </w:rPr>
      </w:pPr>
    </w:p>
    <w:p w14:paraId="09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16"/>
        </w:rPr>
      </w:pPr>
    </w:p>
    <w:p w14:paraId="0A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1. Общие положения</w:t>
      </w:r>
    </w:p>
    <w:p w14:paraId="0B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</w:p>
    <w:p w14:paraId="0C000000">
      <w:pPr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1.1. Правила обмена деловыми подарками и знаками делового гостеприимства в </w:t>
      </w:r>
      <w:r>
        <w:rPr>
          <w:rFonts w:ascii="Times New Roman" w:hAnsi="Times New Roman"/>
          <w:b w:val="1"/>
          <w:sz w:val="24"/>
        </w:rPr>
        <w:t>ГАПОУ КК «Краснодарский гуманитарно-технологический колледж»</w:t>
      </w:r>
    </w:p>
    <w:p w14:paraId="0D000000">
      <w:p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(далее ‒ Правила) разработаны в соответствии с положениями Конституции Российской Федерации, Федерального закона от 25.12.2008. № 273-ФЗ О противодействии коррупции» и принятыми в соответствии с ними иными законодательными и локальными актами.</w:t>
      </w:r>
    </w:p>
    <w:p w14:paraId="0E000000">
      <w:pPr>
        <w:spacing w:after="0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t xml:space="preserve">1.2. Правила определяют единые для всех работников </w:t>
      </w:r>
      <w:r>
        <w:rPr>
          <w:rFonts w:ascii="Times New Roman" w:hAnsi="Times New Roman"/>
          <w:b w:val="1"/>
          <w:sz w:val="24"/>
        </w:rPr>
        <w:t>ГАПОУ КК «Краснодарский гуманитарно-технологический колледж»</w:t>
      </w:r>
    </w:p>
    <w:p w14:paraId="0F000000">
      <w:pPr>
        <w:spacing w:after="0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i w:val="1"/>
          <w:sz w:val="24"/>
        </w:rPr>
        <w:t xml:space="preserve"> </w:t>
      </w:r>
      <w:r>
        <w:rPr>
          <w:rFonts w:ascii="Times New Roman" w:hAnsi="Times New Roman"/>
          <w:sz w:val="24"/>
        </w:rPr>
        <w:t>(далее ‒ Учреждение) требования к дарению и принятию деловых подарков.</w:t>
      </w:r>
    </w:p>
    <w:p w14:paraId="10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1.3. Учреждение поддерживает корпоративную культуру, в которой деловые подарки, корпоративное гостеприимство и представительские мероприятия рассматриваются только как инструмент для установления и поддержания деловых отношений и как проявление общепринятой вежливости в ходе деятельности Учреждения.</w:t>
      </w:r>
    </w:p>
    <w:p w14:paraId="11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1.4. Учреждение исходит из того, что долговременные деловые отношения основываются на доверии и взаимном уважении. Отношения, при которых нарушается закон и принципы деловой этики, вредят репутации Учреждения и честному имени его работников, и не могут обеспечить устойчивое долговременное развитие Учреждения. Такого рода отношения не могут быть приемлемы в практике работы Учреждения.</w:t>
      </w:r>
    </w:p>
    <w:p w14:paraId="12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1.5. Действие Правил распространяется на всех работников Учреждения, вне зависимости от уровня занимаемой должности. </w:t>
      </w:r>
    </w:p>
    <w:p w14:paraId="13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1.6. Данные Правила преследует следующие цели: </w:t>
      </w:r>
    </w:p>
    <w:p w14:paraId="14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 обеспечение единообразного понимания роли и места деловых подарков, делового гостеприимства, представительских мероприятий в деловой практике Учреждения; </w:t>
      </w:r>
    </w:p>
    <w:p w14:paraId="15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осуществление управленческой и хозяйственной деятельности У</w:t>
      </w:r>
      <w:bookmarkStart w:id="1" w:name="_GoBack"/>
      <w:bookmarkEnd w:id="1"/>
      <w:r>
        <w:rPr>
          <w:rFonts w:ascii="Times New Roman" w:hAnsi="Times New Roman"/>
          <w:sz w:val="24"/>
        </w:rPr>
        <w:t>чреждения исключительно на основе надлежащих норм и правил делового поведения, базирующихся на принципах качества предоставления услуг, защиты конкуренции, недопущения конфликта интересов;</w:t>
      </w:r>
    </w:p>
    <w:p w14:paraId="16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определение единых для всех работников Учреждения требований к дарению и принятию деловых подарков, к организации и участию в представительских мероприятиях;</w:t>
      </w:r>
    </w:p>
    <w:p w14:paraId="17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минимизирование рисков, связанных с возможным злоупотреблением в области подарков, представительских мероприятий. Наиболее серьезными из таких рисков являются опасность подкупа и взяточничество, несправедливость по отношению к контрагентам, протекционизм внутри Учреждения.</w:t>
      </w:r>
    </w:p>
    <w:p w14:paraId="18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19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 Требования, предъявляемые к деловым подаркам</w:t>
      </w:r>
    </w:p>
    <w:p w14:paraId="1A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и знакам делового гостеприимства</w:t>
      </w:r>
    </w:p>
    <w:p w14:paraId="1B000000">
      <w:pPr>
        <w:spacing w:after="0" w:line="240" w:lineRule="auto"/>
        <w:ind w:firstLine="709" w:left="0"/>
        <w:jc w:val="center"/>
        <w:rPr>
          <w:rFonts w:ascii="Times New Roman" w:hAnsi="Times New Roman"/>
          <w:sz w:val="24"/>
        </w:rPr>
      </w:pPr>
    </w:p>
    <w:p w14:paraId="1C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2.1. Работники Учреждения могут получать деловые подарки, знаки делового гостеприимства только на официальных мероприятиях, при условии, что это не противоречит требованиям антикоррупционного законодательства и настоящим Правилам.</w:t>
      </w:r>
    </w:p>
    <w:p w14:paraId="1D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2.2. Подарки и услуги, принимаемые или предоставляемые Учреждением, передаются и принимаются только от имени Учреждения в целом, а не как подарок или передача его от отдельного работника.</w:t>
      </w:r>
    </w:p>
    <w:p w14:paraId="1E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2.3. Деловые подарки, которые работники от имени Учреждения могут передавать другим лицам или принимать от других лиц в связи со своей трудовой деятельностью, а также представительские расходы на деловое гостеприимство должны соответствовать следующим критериям:</w:t>
      </w:r>
    </w:p>
    <w:p w14:paraId="1F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</w:rPr>
        <w:t>быть прямо связаны</w:t>
      </w:r>
      <w:r>
        <w:rPr>
          <w:rFonts w:ascii="Times New Roman" w:hAnsi="Times New Roman"/>
          <w:sz w:val="24"/>
        </w:rPr>
        <w:t xml:space="preserve"> с уставными целями деятельности Учреждения, либо с памятными датами, юбилеями, общенациональными праздниками, иными событиями;</w:t>
      </w:r>
    </w:p>
    <w:p w14:paraId="20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быть разумно обоснованными, соразмерными и не являться предметами роскоши;</w:t>
      </w:r>
    </w:p>
    <w:p w14:paraId="21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решений, либо попытку оказать влияние на получателя с иной незаконной или неэтичной целью;</w:t>
      </w:r>
    </w:p>
    <w:p w14:paraId="22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не создавать для получателя обязательства, связанные с его служебным положение или исполнением служебных (должностных) обязанностей;</w:t>
      </w:r>
    </w:p>
    <w:p w14:paraId="23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не создавать репутационного риска для делового имиджа Учреждения, работников и иных лиц в случае раскрытия информации о совершенных подарках и понесенных представительских расходах;</w:t>
      </w:r>
    </w:p>
    <w:p w14:paraId="24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не противоречить принципам и требованиям антикоррупционного законодательства Российской Федерации, Положению об антикоррупционной политики в Учреждении, Кодексу этики и служебного поведения работников Учреждения и общепринятым нормам морали и нравственности.</w:t>
      </w:r>
    </w:p>
    <w:p w14:paraId="25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2.4. 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 возникновению каких-либо встречных обязательств со стороны получателя или оказывать влияние на объективность его деловых суждений и решений.</w:t>
      </w:r>
    </w:p>
    <w:p w14:paraId="26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2.5. 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</w:t>
      </w:r>
    </w:p>
    <w:p w14:paraId="27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2.6. В </w:t>
      </w:r>
      <w:r>
        <w:rPr>
          <w:rFonts w:ascii="Times New Roman" w:hAnsi="Times New Roman"/>
          <w:sz w:val="24"/>
        </w:rPr>
        <w:t>качестве</w:t>
      </w:r>
      <w:r>
        <w:rPr>
          <w:rFonts w:ascii="Times New Roman" w:hAnsi="Times New Roman"/>
          <w:sz w:val="24"/>
        </w:rPr>
        <w:t xml:space="preserve">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</w:t>
      </w:r>
    </w:p>
    <w:p w14:paraId="28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2.7. Подарки и услуги не должны ставить под сомнение имидж или деловую репутацию Учреждения или его работников.</w:t>
      </w:r>
    </w:p>
    <w:p w14:paraId="29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2A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3. Права и обязанности работников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Учреждения при обмене деловыми подарками и знаками делового гостеприимства </w:t>
      </w:r>
    </w:p>
    <w:p w14:paraId="2B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</w:p>
    <w:p w14:paraId="2C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3.1. Работники, представляя интересы Учреждения или действуя от его имени, должны соблюдать границы допустимого поведения при обмене деловыми подарками и проявлении делового гостеприимства.</w:t>
      </w:r>
    </w:p>
    <w:p w14:paraId="2D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3.2. 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</w:t>
      </w:r>
      <w:r>
        <w:rPr>
          <w:rFonts w:ascii="Times New Roman" w:hAnsi="Times New Roman"/>
          <w:sz w:val="24"/>
        </w:rPr>
        <w:t>это законно, этично и делается исключительно в деловых целях, определенных настоящими Правилами.</w:t>
      </w:r>
    </w:p>
    <w:p w14:paraId="2E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3.3. При любых сомнениях в правомерности или этичности своих действий работники Учреждения обязаны поставить в известность директора Учреждения и проконсультироваться с ним, прежде чем дарить или получать подарки или участвовать в тех или иных представительских мероприятиях.</w:t>
      </w:r>
    </w:p>
    <w:p w14:paraId="2F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3.4. При получении делового подарка или знаков делового гостеприимства работники Учреждения обязаны принимать меры по недопущению возможности возникновения конфликта интересов.</w:t>
      </w:r>
    </w:p>
    <w:p w14:paraId="30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3.5. Работники Учреждения не вправе использовать служебное положение в личных целях, включая использование имущества Учреждения, в том числе:</w:t>
      </w:r>
    </w:p>
    <w:p w14:paraId="31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для получения подарков, вознаграждения и иных выгод для себя лично и 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</w:t>
      </w:r>
    </w:p>
    <w:p w14:paraId="32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для получения подарков, вознаграждения и иных выгод для лично и других лиц в процессе ведения дел Учреждения, в том числе, как до, так и после проведения переговоров о заключении гражданско-правовых договоров и иных сделок.</w:t>
      </w:r>
    </w:p>
    <w:p w14:paraId="33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3.6. Работникам Учреждения не рекомендуется принимать или передаривать подарки либо услуги в любом виде от третьих лиц в качестве благодарности за совершенную услугу или данный совет.</w:t>
      </w:r>
    </w:p>
    <w:p w14:paraId="34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3.7. Не допускается передавать и принимать подарки от Учреждения, его работников и представителей в виде денежных средств, как наличных, так и безналичных, независимо от валюты, а также в форме акций, опционов или иных ликвидных ценных бумаг.</w:t>
      </w:r>
    </w:p>
    <w:p w14:paraId="35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3.8. Работники Учреждения должны оказываться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 принимаемые Учреждением решения и т.д.</w:t>
      </w:r>
    </w:p>
    <w:p w14:paraId="36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3.9. Администрация и работники Учреждения не приемлют коррупции. Подарки не должны быть использованы для дачи/получения взяток или коррупции в любых ее проявлениях.</w:t>
      </w:r>
    </w:p>
    <w:p w14:paraId="37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3.10. Работник Учреждения не вправе предлагать третьим лицам или принимать от таковых подарки, выплаты, компенсации и т.п. стоимостью свыше 3000 (Трех тысяч) рублей или не совместимые с законной практикой деловых отношений. Если работнику Учреждения предлагаются подобные подарки или деньги, он обязан немедленно об этом директору Учреждения.</w:t>
      </w:r>
    </w:p>
    <w:p w14:paraId="38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3.11. Работник Учреждения которому при выполнении должностных обязанностей предлагаются подарки или иное </w:t>
      </w:r>
      <w:r>
        <w:rPr>
          <w:rFonts w:ascii="Times New Roman" w:hAnsi="Times New Roman"/>
          <w:sz w:val="24"/>
        </w:rPr>
        <w:t>вознаграждение</w:t>
      </w:r>
      <w:r>
        <w:rPr>
          <w:rFonts w:ascii="Times New Roman" w:hAnsi="Times New Roman"/>
          <w:sz w:val="24"/>
        </w:rPr>
        <w:t xml:space="preserve"> как в прямом, так и в косвенном виде, которые способны повлиять на подготавливаемые и/или принимаемые им решения или оказать влияние на его действие/бездействие, должен:</w:t>
      </w:r>
    </w:p>
    <w:p w14:paraId="39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отказаться от них о немедленно уведомить директора Учреждения о факте предложения подарка (вознаграждения);</w:t>
      </w:r>
    </w:p>
    <w:p w14:paraId="3A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14:paraId="3B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</w:t>
      </w:r>
      <w:r>
        <w:rPr>
          <w:rFonts w:ascii="Times New Roman" w:hAnsi="Times New Roman"/>
          <w:sz w:val="24"/>
        </w:rPr>
        <w:t>случае</w:t>
      </w:r>
      <w:r>
        <w:rPr>
          <w:rFonts w:ascii="Times New Roman" w:hAnsi="Times New Roman"/>
          <w:sz w:val="24"/>
        </w:rPr>
        <w:t>,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 установленном в Учреждении порядке над вопросом, с которым был связан подарок или вознаграждение.</w:t>
      </w:r>
    </w:p>
    <w:p w14:paraId="3C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3.12. </w:t>
      </w:r>
      <w:r>
        <w:rPr>
          <w:rFonts w:ascii="Times New Roman" w:hAnsi="Times New Roman"/>
          <w:sz w:val="24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или знаков </w:t>
      </w:r>
      <w:r>
        <w:rPr>
          <w:rFonts w:ascii="Times New Roman" w:hAnsi="Times New Roman"/>
          <w:sz w:val="24"/>
        </w:rPr>
        <w:t>делового гостеприимства работник Учреждения обязан в письменной форме уведомить об этом одно из должностных лиц, ответственных за противодействие коррупции, в соответствии с процедурой раскрытия конфликта интересов, утвержденной Положением о конфликте интересов, принятым в Учреждении.</w:t>
      </w:r>
    </w:p>
    <w:p w14:paraId="3D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3.13. Работникам Учреждения запрещается: </w:t>
      </w:r>
    </w:p>
    <w:p w14:paraId="3E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самостоятельно принимать предложения от организаций или третьих лиц о вручении деловых подарков и об оказании знаков делового гостеприимства;</w:t>
      </w:r>
    </w:p>
    <w:p w14:paraId="3F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принимать без согласования с директором Учреждения деловые подарки и знаки делового гостеприимства в ходе проведения деловых переговоров, при заключении договоров, а также в иных случаях, когда подобные действия могут повлиять или создать впечатление об их влиянии на принимаемые решения;</w:t>
      </w:r>
    </w:p>
    <w:p w14:paraId="40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принимать деловые подарки и знаки делового гостеприимства в ходе проведения торгов и во время прямых переговоров при заключении договоров (контрактов);</w:t>
      </w:r>
    </w:p>
    <w:p w14:paraId="41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</w:t>
      </w:r>
    </w:p>
    <w:p w14:paraId="42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 принимать подарки в виде наличных, безналичных денежных средств, ценных бумаг, драгоценных металлов.</w:t>
      </w:r>
    </w:p>
    <w:p w14:paraId="43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3.14. Учреждение может принять решение об участии в благотворительных мероприятиях, направленных на создание и упрочение имиджа Учреждения. При этом план и бюджет участия в данных мероприятиях утверждается директором Учреждения.</w:t>
      </w:r>
    </w:p>
    <w:p w14:paraId="44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3.15. В </w:t>
      </w:r>
      <w:r>
        <w:rPr>
          <w:rFonts w:ascii="Times New Roman" w:hAnsi="Times New Roman"/>
          <w:sz w:val="24"/>
        </w:rPr>
        <w:t>случае</w:t>
      </w:r>
      <w:r>
        <w:rPr>
          <w:rFonts w:ascii="Times New Roman" w:hAnsi="Times New Roman"/>
          <w:sz w:val="24"/>
        </w:rPr>
        <w:t xml:space="preserve"> осуществления спонсорских, благотворительных программ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путем.</w:t>
      </w:r>
    </w:p>
    <w:p w14:paraId="45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3.16. 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</w:t>
      </w:r>
    </w:p>
    <w:p w14:paraId="46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3.17. Неисполнение настоящих Правил может стать основанием для 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</w:t>
      </w:r>
    </w:p>
    <w:p w14:paraId="47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</w:p>
    <w:p w14:paraId="48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 Область применения</w:t>
      </w:r>
    </w:p>
    <w:p w14:paraId="49000000">
      <w:pPr>
        <w:spacing w:after="0" w:line="240" w:lineRule="auto"/>
        <w:ind w:firstLine="709" w:left="0"/>
        <w:jc w:val="center"/>
        <w:rPr>
          <w:rFonts w:ascii="Times New Roman" w:hAnsi="Times New Roman"/>
          <w:b w:val="1"/>
          <w:sz w:val="24"/>
        </w:rPr>
      </w:pPr>
    </w:p>
    <w:p w14:paraId="4A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4.1. Настоящие Правила подлежат применению вне зависимости от того, каким образом передаются деловые подарки и знаки делового гостеприимства: напрямую или через посредников.</w:t>
      </w:r>
    </w:p>
    <w:p w14:paraId="4B000000">
      <w:p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4.2. Настоящие Правила являются обязательными для всех работников Учреждения в период работы в Учреждении.</w:t>
      </w:r>
    </w:p>
    <w:p w14:paraId="4C000000">
      <w:pPr>
        <w:spacing w:after="200" w:line="276" w:lineRule="auto"/>
        <w:ind/>
        <w:rPr>
          <w:rFonts w:ascii="Times New Roman" w:hAnsi="Times New Roman"/>
          <w:color w:val="002060"/>
          <w:sz w:val="24"/>
        </w:rPr>
      </w:pPr>
      <w:r>
        <w:rPr>
          <w:rFonts w:ascii="Times New Roman" w:hAnsi="Times New Roman"/>
          <w:color w:val="002060"/>
          <w:sz w:val="24"/>
        </w:rPr>
        <w:t xml:space="preserve"> </w:t>
      </w:r>
    </w:p>
    <w:p w14:paraId="4D000000">
      <w:pPr>
        <w:spacing w:after="200" w:line="276" w:lineRule="auto"/>
        <w:ind/>
        <w:rPr>
          <w:rFonts w:ascii="Times New Roman" w:hAnsi="Times New Roman"/>
          <w:color w:val="002060"/>
          <w:sz w:val="24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bullet"/>
      <w:pStyle w:val="Style_36"/>
      <w:lvlText w:val=""/>
      <w:lvlJc w:val="left"/>
      <w:pPr>
        <w:tabs>
          <w:tab w:leader="none" w:pos="360" w:val="left"/>
        </w:tabs>
        <w:ind w:hanging="360" w:left="360"/>
      </w:pPr>
      <w:rPr>
        <w:rFonts w:ascii="Symbol" w:hAnsi="Symbol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apple-converted-space"/>
    <w:basedOn w:val="Style_3"/>
    <w:link w:val="Style_2_ch"/>
  </w:style>
  <w:style w:styleId="Style_2_ch" w:type="character">
    <w:name w:val="apple-converted-space"/>
    <w:basedOn w:val="Style_3_ch"/>
    <w:link w:val="Style_2"/>
  </w:style>
  <w:style w:styleId="Style_4" w:type="paragraph">
    <w:name w:val="toc 2"/>
    <w:next w:val="Style_1"/>
    <w:link w:val="Style_4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Гиперссылка1"/>
    <w:basedOn w:val="Style_3"/>
    <w:link w:val="Style_5_ch"/>
    <w:rPr>
      <w:color w:val="5F5F5F"/>
      <w:u w:val="single"/>
    </w:rPr>
  </w:style>
  <w:style w:styleId="Style_5_ch" w:type="character">
    <w:name w:val="Гиперссылка1"/>
    <w:basedOn w:val="Style_3_ch"/>
    <w:link w:val="Style_5"/>
    <w:rPr>
      <w:color w:val="5F5F5F"/>
      <w:u w:val="single"/>
    </w:rPr>
  </w:style>
  <w:style w:styleId="Style_6" w:type="paragraph">
    <w:name w:val="toc 4"/>
    <w:next w:val="Style_1"/>
    <w:link w:val="Style_6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6_ch" w:type="character">
    <w:name w:val="toc 4"/>
    <w:link w:val="Style_6"/>
    <w:rPr>
      <w:rFonts w:ascii="XO Thames" w:hAnsi="XO Thames"/>
      <w:sz w:val="28"/>
    </w:rPr>
  </w:style>
  <w:style w:styleId="Style_7" w:type="paragraph">
    <w:name w:val="header"/>
    <w:basedOn w:val="Style_1"/>
    <w:link w:val="Style_7_ch"/>
    <w:pPr>
      <w:tabs>
        <w:tab w:leader="none" w:pos="4677" w:val="center"/>
        <w:tab w:leader="none" w:pos="9355" w:val="right"/>
      </w:tabs>
      <w:spacing w:after="0" w:line="240" w:lineRule="auto"/>
      <w:ind w:firstLine="709" w:left="0"/>
      <w:jc w:val="both"/>
    </w:pPr>
    <w:rPr>
      <w:rFonts w:ascii="Calibri" w:hAnsi="Calibri"/>
    </w:rPr>
  </w:style>
  <w:style w:styleId="Style_7_ch" w:type="character">
    <w:name w:val="header"/>
    <w:basedOn w:val="Style_1_ch"/>
    <w:link w:val="Style_7"/>
    <w:rPr>
      <w:rFonts w:ascii="Calibri" w:hAnsi="Calibri"/>
    </w:rPr>
  </w:style>
  <w:style w:styleId="Style_8" w:type="paragraph">
    <w:name w:val="toc 6"/>
    <w:next w:val="Style_1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msonormal"/>
    <w:basedOn w:val="Style_1"/>
    <w:link w:val="Style_9_ch"/>
    <w:pPr>
      <w:spacing w:after="240" w:before="240" w:line="240" w:lineRule="auto"/>
      <w:ind w:firstLine="709" w:left="0"/>
      <w:jc w:val="both"/>
    </w:pPr>
    <w:rPr>
      <w:rFonts w:ascii="Times New Roman" w:hAnsi="Times New Roman"/>
      <w:sz w:val="24"/>
    </w:rPr>
  </w:style>
  <w:style w:styleId="Style_9_ch" w:type="character">
    <w:name w:val="msonormal"/>
    <w:basedOn w:val="Style_1_ch"/>
    <w:link w:val="Style_9"/>
    <w:rPr>
      <w:rFonts w:ascii="Times New Roman" w:hAnsi="Times New Roman"/>
      <w:sz w:val="24"/>
    </w:rPr>
  </w:style>
  <w:style w:styleId="Style_10" w:type="paragraph">
    <w:name w:val="toc 7"/>
    <w:next w:val="Style_1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Основной текст1"/>
    <w:basedOn w:val="Style_1"/>
    <w:link w:val="Style_11_ch"/>
    <w:pPr>
      <w:spacing w:after="420" w:line="0" w:lineRule="atLeast"/>
      <w:ind w:hanging="420" w:left="420"/>
      <w:jc w:val="center"/>
    </w:pPr>
    <w:rPr>
      <w:sz w:val="28"/>
    </w:rPr>
  </w:style>
  <w:style w:styleId="Style_11_ch" w:type="character">
    <w:name w:val="Основной текст1"/>
    <w:basedOn w:val="Style_1_ch"/>
    <w:link w:val="Style_11"/>
    <w:rPr>
      <w:sz w:val="28"/>
    </w:rPr>
  </w:style>
  <w:style w:styleId="Style_12" w:type="paragraph">
    <w:name w:val="ConsPlusNonformat"/>
    <w:link w:val="Style_12_ch"/>
    <w:pPr>
      <w:spacing w:after="0" w:line="240" w:lineRule="auto"/>
      <w:ind w:firstLine="709" w:left="0"/>
      <w:jc w:val="both"/>
    </w:pPr>
    <w:rPr>
      <w:rFonts w:ascii="Courier New" w:hAnsi="Courier New"/>
      <w:sz w:val="20"/>
    </w:rPr>
  </w:style>
  <w:style w:styleId="Style_12_ch" w:type="character">
    <w:name w:val="ConsPlusNonformat"/>
    <w:link w:val="Style_12"/>
    <w:rPr>
      <w:rFonts w:ascii="Courier New" w:hAnsi="Courier New"/>
      <w:sz w:val="20"/>
    </w:rPr>
  </w:style>
  <w:style w:styleId="Style_13" w:type="paragraph">
    <w:name w:val="Endnote"/>
    <w:basedOn w:val="Style_1"/>
    <w:link w:val="Style_13_ch"/>
    <w:pPr>
      <w:spacing w:after="0" w:line="240" w:lineRule="auto"/>
      <w:ind/>
    </w:pPr>
    <w:rPr>
      <w:rFonts w:ascii="Times New Roman" w:hAnsi="Times New Roman"/>
      <w:sz w:val="20"/>
    </w:rPr>
  </w:style>
  <w:style w:styleId="Style_13_ch" w:type="character">
    <w:name w:val="Endnote"/>
    <w:basedOn w:val="Style_1_ch"/>
    <w:link w:val="Style_13"/>
    <w:rPr>
      <w:rFonts w:ascii="Times New Roman" w:hAnsi="Times New Roman"/>
      <w:sz w:val="20"/>
    </w:rPr>
  </w:style>
  <w:style w:styleId="Style_14" w:type="paragraph">
    <w:name w:val="heading 3"/>
    <w:next w:val="Style_1"/>
    <w:link w:val="Style_14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4_ch" w:type="character">
    <w:name w:val="heading 3"/>
    <w:link w:val="Style_14"/>
    <w:rPr>
      <w:rFonts w:ascii="XO Thames" w:hAnsi="XO Thames"/>
      <w:b w:val="1"/>
      <w:sz w:val="26"/>
    </w:rPr>
  </w:style>
  <w:style w:styleId="Style_15" w:type="paragraph">
    <w:name w:val="Balloon Text"/>
    <w:basedOn w:val="Style_1"/>
    <w:link w:val="Style_15_ch"/>
    <w:pPr>
      <w:spacing w:after="0" w:line="240" w:lineRule="auto"/>
      <w:ind w:firstLine="709" w:left="0"/>
      <w:jc w:val="both"/>
    </w:pPr>
    <w:rPr>
      <w:rFonts w:ascii="Tahoma" w:hAnsi="Tahoma"/>
      <w:sz w:val="16"/>
    </w:rPr>
  </w:style>
  <w:style w:styleId="Style_15_ch" w:type="character">
    <w:name w:val="Balloon Text"/>
    <w:basedOn w:val="Style_1_ch"/>
    <w:link w:val="Style_15"/>
    <w:rPr>
      <w:rFonts w:ascii="Tahoma" w:hAnsi="Tahoma"/>
      <w:sz w:val="16"/>
    </w:rPr>
  </w:style>
  <w:style w:styleId="Style_16" w:type="paragraph">
    <w:name w:val="No Spacing"/>
    <w:link w:val="Style_16_ch"/>
    <w:pPr>
      <w:spacing w:after="0" w:line="240" w:lineRule="auto"/>
      <w:ind/>
    </w:pPr>
    <w:rPr>
      <w:rFonts w:ascii="Calibri" w:hAnsi="Calibri"/>
    </w:rPr>
  </w:style>
  <w:style w:styleId="Style_16_ch" w:type="character">
    <w:name w:val="No Spacing"/>
    <w:link w:val="Style_16"/>
    <w:rPr>
      <w:rFonts w:ascii="Calibri" w:hAnsi="Calibri"/>
    </w:rPr>
  </w:style>
  <w:style w:styleId="Style_17" w:type="paragraph">
    <w:name w:val="footer"/>
    <w:basedOn w:val="Style_1"/>
    <w:link w:val="Style_17_ch"/>
    <w:pPr>
      <w:tabs>
        <w:tab w:leader="none" w:pos="4677" w:val="center"/>
        <w:tab w:leader="none" w:pos="9355" w:val="right"/>
      </w:tabs>
      <w:spacing w:after="0" w:line="240" w:lineRule="auto"/>
      <w:ind w:firstLine="709" w:left="0"/>
      <w:jc w:val="both"/>
    </w:pPr>
    <w:rPr>
      <w:rFonts w:ascii="Calibri" w:hAnsi="Calibri"/>
    </w:rPr>
  </w:style>
  <w:style w:styleId="Style_17_ch" w:type="character">
    <w:name w:val="footer"/>
    <w:basedOn w:val="Style_1_ch"/>
    <w:link w:val="Style_17"/>
    <w:rPr>
      <w:rFonts w:ascii="Calibri" w:hAnsi="Calibri"/>
    </w:rPr>
  </w:style>
  <w:style w:styleId="Style_18" w:type="paragraph">
    <w:name w:val="Default"/>
    <w:link w:val="Style_18_ch"/>
    <w:pPr>
      <w:spacing w:after="0" w:line="240" w:lineRule="auto"/>
      <w:ind w:firstLine="709" w:left="0"/>
      <w:jc w:val="both"/>
    </w:pPr>
    <w:rPr>
      <w:rFonts w:ascii="Times New Roman" w:hAnsi="Times New Roman"/>
      <w:color w:val="000000"/>
      <w:sz w:val="24"/>
    </w:rPr>
  </w:style>
  <w:style w:styleId="Style_18_ch" w:type="character">
    <w:name w:val="Default"/>
    <w:link w:val="Style_18"/>
    <w:rPr>
      <w:rFonts w:ascii="Times New Roman" w:hAnsi="Times New Roman"/>
      <w:color w:val="000000"/>
      <w:sz w:val="24"/>
    </w:rPr>
  </w:style>
  <w:style w:styleId="Style_19" w:type="paragraph">
    <w:name w:val="ConsPlusTitle"/>
    <w:link w:val="Style_19_ch"/>
    <w:pPr>
      <w:widowControl w:val="0"/>
      <w:spacing w:after="0" w:line="240" w:lineRule="auto"/>
      <w:ind/>
    </w:pPr>
    <w:rPr>
      <w:rFonts w:ascii="Calibri" w:hAnsi="Calibri"/>
      <w:b w:val="1"/>
    </w:rPr>
  </w:style>
  <w:style w:styleId="Style_19_ch" w:type="character">
    <w:name w:val="ConsPlusTitle"/>
    <w:link w:val="Style_19"/>
    <w:rPr>
      <w:rFonts w:ascii="Calibri" w:hAnsi="Calibri"/>
      <w:b w:val="1"/>
    </w:rPr>
  </w:style>
  <w:style w:styleId="Style_20" w:type="paragraph">
    <w:name w:val="annotation subject"/>
    <w:basedOn w:val="Style_21"/>
    <w:next w:val="Style_21"/>
    <w:link w:val="Style_20_ch"/>
    <w:rPr>
      <w:b w:val="1"/>
    </w:rPr>
  </w:style>
  <w:style w:styleId="Style_20_ch" w:type="character">
    <w:name w:val="annotation subject"/>
    <w:basedOn w:val="Style_21_ch"/>
    <w:link w:val="Style_20"/>
    <w:rPr>
      <w:b w:val="1"/>
    </w:rPr>
  </w:style>
  <w:style w:styleId="Style_22" w:type="paragraph">
    <w:name w:val="toc 3"/>
    <w:next w:val="Style_1"/>
    <w:link w:val="Style_22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22_ch" w:type="character">
    <w:name w:val="toc 3"/>
    <w:link w:val="Style_22"/>
    <w:rPr>
      <w:rFonts w:ascii="XO Thames" w:hAnsi="XO Thames"/>
      <w:sz w:val="28"/>
    </w:rPr>
  </w:style>
  <w:style w:styleId="Style_23" w:type="paragraph">
    <w:name w:val="Заголовок 1 Знак1"/>
    <w:basedOn w:val="Style_3"/>
    <w:link w:val="Style_23_ch"/>
    <w:rPr>
      <w:rFonts w:asciiTheme="majorAscii" w:hAnsiTheme="majorHAnsi"/>
      <w:color w:themeColor="accent1" w:themeShade="BF" w:val="2E75B5"/>
      <w:sz w:val="32"/>
    </w:rPr>
  </w:style>
  <w:style w:styleId="Style_23_ch" w:type="character">
    <w:name w:val="Заголовок 1 Знак1"/>
    <w:basedOn w:val="Style_3_ch"/>
    <w:link w:val="Style_23"/>
    <w:rPr>
      <w:rFonts w:asciiTheme="majorAscii" w:hAnsiTheme="majorHAnsi"/>
      <w:color w:themeColor="accent1" w:themeShade="BF" w:val="2E75B5"/>
      <w:sz w:val="32"/>
    </w:rPr>
  </w:style>
  <w:style w:styleId="Style_3" w:type="paragraph">
    <w:name w:val="Default Paragraph Font"/>
    <w:link w:val="Style_3_ch"/>
  </w:style>
  <w:style w:styleId="Style_3_ch" w:type="character">
    <w:name w:val="Default Paragraph Font"/>
    <w:link w:val="Style_3"/>
  </w:style>
  <w:style w:styleId="Style_24" w:type="paragraph">
    <w:name w:val="Revision"/>
    <w:link w:val="Style_24_ch"/>
    <w:pPr>
      <w:spacing w:after="0" w:line="240" w:lineRule="auto"/>
      <w:ind/>
    </w:pPr>
    <w:rPr>
      <w:rFonts w:ascii="Calibri" w:hAnsi="Calibri"/>
    </w:rPr>
  </w:style>
  <w:style w:styleId="Style_24_ch" w:type="character">
    <w:name w:val="Revision"/>
    <w:link w:val="Style_24"/>
    <w:rPr>
      <w:rFonts w:ascii="Calibri" w:hAnsi="Calibri"/>
    </w:rPr>
  </w:style>
  <w:style w:styleId="Style_25" w:type="paragraph">
    <w:name w:val="Заголовок 11"/>
    <w:basedOn w:val="Style_1"/>
    <w:next w:val="Style_1"/>
    <w:link w:val="Style_25_ch"/>
    <w:pPr>
      <w:keepNext w:val="1"/>
      <w:keepLines w:val="1"/>
      <w:spacing w:after="0" w:before="480" w:line="276" w:lineRule="auto"/>
      <w:ind/>
      <w:outlineLvl w:val="0"/>
    </w:pPr>
    <w:rPr>
      <w:rFonts w:ascii="Cambria" w:hAnsi="Cambria"/>
      <w:b w:val="1"/>
      <w:color w:val="A5A5A5"/>
      <w:sz w:val="28"/>
    </w:rPr>
  </w:style>
  <w:style w:styleId="Style_25_ch" w:type="character">
    <w:name w:val="Заголовок 11"/>
    <w:basedOn w:val="Style_1_ch"/>
    <w:link w:val="Style_25"/>
    <w:rPr>
      <w:rFonts w:ascii="Cambria" w:hAnsi="Cambria"/>
      <w:b w:val="1"/>
      <w:color w:val="A5A5A5"/>
      <w:sz w:val="28"/>
    </w:rPr>
  </w:style>
  <w:style w:styleId="Style_26" w:type="paragraph">
    <w:name w:val="heading 5"/>
    <w:next w:val="Style_1"/>
    <w:link w:val="Style_2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6_ch" w:type="character">
    <w:name w:val="heading 5"/>
    <w:link w:val="Style_26"/>
    <w:rPr>
      <w:rFonts w:ascii="XO Thames" w:hAnsi="XO Thames"/>
      <w:b w:val="1"/>
      <w:sz w:val="22"/>
    </w:rPr>
  </w:style>
  <w:style w:styleId="Style_27" w:type="paragraph">
    <w:name w:val="heading 1"/>
    <w:basedOn w:val="Style_1"/>
    <w:next w:val="Style_1"/>
    <w:link w:val="Style_27_ch"/>
    <w:uiPriority w:val="9"/>
    <w:qFormat/>
    <w:pPr>
      <w:keepNext w:val="1"/>
      <w:keepLines w:val="1"/>
      <w:spacing w:after="0" w:before="240"/>
      <w:ind/>
      <w:outlineLvl w:val="0"/>
    </w:pPr>
    <w:rPr>
      <w:rFonts w:ascii="Cambria" w:hAnsi="Cambria"/>
      <w:b w:val="1"/>
      <w:color w:val="A5A5A5"/>
      <w:sz w:val="28"/>
    </w:rPr>
  </w:style>
  <w:style w:styleId="Style_27_ch" w:type="character">
    <w:name w:val="heading 1"/>
    <w:basedOn w:val="Style_1_ch"/>
    <w:link w:val="Style_27"/>
    <w:rPr>
      <w:rFonts w:ascii="Cambria" w:hAnsi="Cambria"/>
      <w:b w:val="1"/>
      <w:color w:val="A5A5A5"/>
      <w:sz w:val="28"/>
    </w:rPr>
  </w:style>
  <w:style w:styleId="Style_28" w:type="paragraph">
    <w:name w:val="Просмотренная гиперссылка1"/>
    <w:basedOn w:val="Style_3"/>
    <w:link w:val="Style_28_ch"/>
    <w:rPr>
      <w:color w:val="919191"/>
      <w:u w:val="single"/>
    </w:rPr>
  </w:style>
  <w:style w:styleId="Style_28_ch" w:type="character">
    <w:name w:val="Просмотренная гиперссылка1"/>
    <w:basedOn w:val="Style_3_ch"/>
    <w:link w:val="Style_28"/>
    <w:rPr>
      <w:color w:val="919191"/>
      <w:u w:val="single"/>
    </w:rPr>
  </w:style>
  <w:style w:styleId="Style_29" w:type="paragraph">
    <w:name w:val="FollowedHyperlink"/>
    <w:basedOn w:val="Style_3"/>
    <w:link w:val="Style_29_ch"/>
    <w:rPr>
      <w:color w:themeColor="followedHyperlink" w:val="954F72"/>
      <w:u w:val="single"/>
    </w:rPr>
  </w:style>
  <w:style w:styleId="Style_29_ch" w:type="character">
    <w:name w:val="FollowedHyperlink"/>
    <w:basedOn w:val="Style_3_ch"/>
    <w:link w:val="Style_29"/>
    <w:rPr>
      <w:color w:themeColor="followedHyperlink" w:val="954F72"/>
      <w:u w:val="single"/>
    </w:rPr>
  </w:style>
  <w:style w:styleId="Style_30" w:type="paragraph">
    <w:name w:val="List Paragraph"/>
    <w:basedOn w:val="Style_1"/>
    <w:link w:val="Style_30_ch"/>
    <w:pPr>
      <w:spacing w:after="0" w:line="240" w:lineRule="auto"/>
      <w:ind w:firstLine="709" w:left="720"/>
      <w:contextualSpacing w:val="1"/>
      <w:jc w:val="both"/>
    </w:pPr>
    <w:rPr>
      <w:rFonts w:ascii="Calibri" w:hAnsi="Calibri"/>
    </w:rPr>
  </w:style>
  <w:style w:styleId="Style_30_ch" w:type="character">
    <w:name w:val="List Paragraph"/>
    <w:basedOn w:val="Style_1_ch"/>
    <w:link w:val="Style_30"/>
    <w:rPr>
      <w:rFonts w:ascii="Calibri" w:hAnsi="Calibri"/>
    </w:rPr>
  </w:style>
  <w:style w:styleId="Style_31" w:type="paragraph">
    <w:name w:val="Hyperlink"/>
    <w:basedOn w:val="Style_3"/>
    <w:link w:val="Style_31_ch"/>
    <w:rPr>
      <w:color w:themeColor="hyperlink" w:val="0563C1"/>
      <w:u w:val="single"/>
    </w:rPr>
  </w:style>
  <w:style w:styleId="Style_31_ch" w:type="character">
    <w:name w:val="Hyperlink"/>
    <w:basedOn w:val="Style_3_ch"/>
    <w:link w:val="Style_31"/>
    <w:rPr>
      <w:color w:themeColor="hyperlink" w:val="0563C1"/>
      <w:u w:val="single"/>
    </w:rPr>
  </w:style>
  <w:style w:styleId="Style_32" w:type="paragraph">
    <w:name w:val="Footnote"/>
    <w:basedOn w:val="Style_1"/>
    <w:link w:val="Style_32_ch"/>
    <w:pPr>
      <w:spacing w:after="0" w:line="240" w:lineRule="auto"/>
      <w:ind w:firstLine="709" w:left="0"/>
      <w:jc w:val="both"/>
    </w:pPr>
    <w:rPr>
      <w:rFonts w:ascii="Times New Roman" w:hAnsi="Times New Roman"/>
      <w:sz w:val="20"/>
    </w:rPr>
  </w:style>
  <w:style w:styleId="Style_32_ch" w:type="character">
    <w:name w:val="Footnote"/>
    <w:basedOn w:val="Style_1_ch"/>
    <w:link w:val="Style_32"/>
    <w:rPr>
      <w:rFonts w:ascii="Times New Roman" w:hAnsi="Times New Roman"/>
      <w:sz w:val="20"/>
    </w:rPr>
  </w:style>
  <w:style w:styleId="Style_33" w:type="paragraph">
    <w:name w:val="toc 1"/>
    <w:next w:val="Style_1"/>
    <w:link w:val="Style_3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33_ch" w:type="character">
    <w:name w:val="toc 1"/>
    <w:link w:val="Style_33"/>
    <w:rPr>
      <w:rFonts w:ascii="XO Thames" w:hAnsi="XO Thames"/>
      <w:b w:val="1"/>
      <w:sz w:val="28"/>
    </w:rPr>
  </w:style>
  <w:style w:styleId="Style_34" w:type="paragraph">
    <w:name w:val="annotation reference"/>
    <w:link w:val="Style_34_ch"/>
    <w:rPr>
      <w:sz w:val="16"/>
    </w:rPr>
  </w:style>
  <w:style w:styleId="Style_34_ch" w:type="character">
    <w:name w:val="annotation reference"/>
    <w:link w:val="Style_34"/>
    <w:rPr>
      <w:sz w:val="16"/>
    </w:rPr>
  </w:style>
  <w:style w:styleId="Style_35" w:type="paragraph">
    <w:name w:val="Header and Footer"/>
    <w:link w:val="Style_35_ch"/>
    <w:pPr>
      <w:spacing w:line="240" w:lineRule="auto"/>
      <w:ind/>
      <w:jc w:val="both"/>
    </w:pPr>
    <w:rPr>
      <w:rFonts w:ascii="XO Thames" w:hAnsi="XO Thames"/>
      <w:sz w:val="28"/>
    </w:rPr>
  </w:style>
  <w:style w:styleId="Style_35_ch" w:type="character">
    <w:name w:val="Header and Footer"/>
    <w:link w:val="Style_35"/>
    <w:rPr>
      <w:rFonts w:ascii="XO Thames" w:hAnsi="XO Thames"/>
      <w:sz w:val="28"/>
    </w:rPr>
  </w:style>
  <w:style w:styleId="Style_36" w:type="paragraph">
    <w:name w:val="List Bullet"/>
    <w:basedOn w:val="Style_1"/>
    <w:link w:val="Style_36_ch"/>
    <w:pPr>
      <w:numPr>
        <w:numId w:val="1"/>
      </w:numPr>
      <w:spacing w:after="200" w:line="276" w:lineRule="auto"/>
      <w:ind/>
      <w:contextualSpacing w:val="1"/>
    </w:pPr>
    <w:rPr>
      <w:rFonts w:ascii="Calibri" w:hAnsi="Calibri"/>
    </w:rPr>
  </w:style>
  <w:style w:styleId="Style_36_ch" w:type="character">
    <w:name w:val="List Bullet"/>
    <w:basedOn w:val="Style_1_ch"/>
    <w:link w:val="Style_36"/>
    <w:rPr>
      <w:rFonts w:ascii="Calibri" w:hAnsi="Calibri"/>
    </w:rPr>
  </w:style>
  <w:style w:styleId="Style_21" w:type="paragraph">
    <w:name w:val="annotation text"/>
    <w:basedOn w:val="Style_1"/>
    <w:link w:val="Style_21_ch"/>
    <w:pPr>
      <w:spacing w:after="0" w:line="240" w:lineRule="auto"/>
      <w:ind w:firstLine="709" w:left="0"/>
      <w:jc w:val="both"/>
    </w:pPr>
    <w:rPr>
      <w:rFonts w:ascii="Calibri" w:hAnsi="Calibri"/>
      <w:sz w:val="20"/>
    </w:rPr>
  </w:style>
  <w:style w:styleId="Style_21_ch" w:type="character">
    <w:name w:val="annotation text"/>
    <w:basedOn w:val="Style_1_ch"/>
    <w:link w:val="Style_21"/>
    <w:rPr>
      <w:rFonts w:ascii="Calibri" w:hAnsi="Calibri"/>
      <w:sz w:val="20"/>
    </w:rPr>
  </w:style>
  <w:style w:styleId="Style_37" w:type="paragraph">
    <w:name w:val="toc 9"/>
    <w:next w:val="Style_1"/>
    <w:link w:val="Style_3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37_ch" w:type="character">
    <w:name w:val="toc 9"/>
    <w:link w:val="Style_37"/>
    <w:rPr>
      <w:rFonts w:ascii="XO Thames" w:hAnsi="XO Thames"/>
      <w:sz w:val="28"/>
    </w:rPr>
  </w:style>
  <w:style w:styleId="Style_38" w:type="paragraph">
    <w:name w:val="Основной текст Знак11"/>
    <w:link w:val="Style_38_ch"/>
    <w:rPr>
      <w:rFonts w:ascii="Times New Roman" w:hAnsi="Times New Roman"/>
    </w:rPr>
  </w:style>
  <w:style w:styleId="Style_38_ch" w:type="character">
    <w:name w:val="Основной текст Знак11"/>
    <w:link w:val="Style_38"/>
    <w:rPr>
      <w:rFonts w:ascii="Times New Roman" w:hAnsi="Times New Roman"/>
    </w:rPr>
  </w:style>
  <w:style w:styleId="Style_39" w:type="paragraph">
    <w:name w:val="Body Text"/>
    <w:basedOn w:val="Style_1"/>
    <w:link w:val="Style_39_ch"/>
    <w:pPr>
      <w:widowControl w:val="0"/>
      <w:spacing w:after="780" w:line="298" w:lineRule="exact"/>
      <w:ind w:hanging="1600" w:left="1600"/>
      <w:jc w:val="both"/>
    </w:pPr>
    <w:rPr>
      <w:rFonts w:ascii="Calibri" w:hAnsi="Calibri"/>
    </w:rPr>
  </w:style>
  <w:style w:styleId="Style_39_ch" w:type="character">
    <w:name w:val="Body Text"/>
    <w:basedOn w:val="Style_1_ch"/>
    <w:link w:val="Style_39"/>
    <w:rPr>
      <w:rFonts w:ascii="Calibri" w:hAnsi="Calibri"/>
    </w:rPr>
  </w:style>
  <w:style w:styleId="Style_40" w:type="paragraph">
    <w:name w:val="toc 8"/>
    <w:next w:val="Style_1"/>
    <w:link w:val="Style_40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40_ch" w:type="character">
    <w:name w:val="toc 8"/>
    <w:link w:val="Style_40"/>
    <w:rPr>
      <w:rFonts w:ascii="XO Thames" w:hAnsi="XO Thames"/>
      <w:sz w:val="28"/>
    </w:rPr>
  </w:style>
  <w:style w:styleId="Style_41" w:type="paragraph">
    <w:name w:val="Основной текст Знак1"/>
    <w:basedOn w:val="Style_3"/>
    <w:link w:val="Style_41_ch"/>
  </w:style>
  <w:style w:styleId="Style_41_ch" w:type="character">
    <w:name w:val="Основной текст Знак1"/>
    <w:basedOn w:val="Style_3_ch"/>
    <w:link w:val="Style_41"/>
  </w:style>
  <w:style w:styleId="Style_42" w:type="paragraph">
    <w:name w:val="toc 5"/>
    <w:next w:val="Style_1"/>
    <w:link w:val="Style_42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42_ch" w:type="character">
    <w:name w:val="toc 5"/>
    <w:link w:val="Style_42"/>
    <w:rPr>
      <w:rFonts w:ascii="XO Thames" w:hAnsi="XO Thames"/>
      <w:sz w:val="28"/>
    </w:rPr>
  </w:style>
  <w:style w:styleId="Style_43" w:type="paragraph">
    <w:name w:val="ConsPlusNormal"/>
    <w:link w:val="Style_43_ch"/>
    <w:pPr>
      <w:spacing w:after="0" w:line="240" w:lineRule="auto"/>
      <w:ind/>
    </w:pPr>
    <w:rPr>
      <w:rFonts w:ascii="Times New Roman" w:hAnsi="Times New Roman"/>
      <w:sz w:val="28"/>
    </w:rPr>
  </w:style>
  <w:style w:styleId="Style_43_ch" w:type="character">
    <w:name w:val="ConsPlusNormal"/>
    <w:link w:val="Style_43"/>
    <w:rPr>
      <w:rFonts w:ascii="Times New Roman" w:hAnsi="Times New Roman"/>
      <w:sz w:val="28"/>
    </w:rPr>
  </w:style>
  <w:style w:styleId="Style_44" w:type="paragraph">
    <w:name w:val="footnote reference"/>
    <w:link w:val="Style_44_ch"/>
    <w:rPr>
      <w:vertAlign w:val="superscript"/>
    </w:rPr>
  </w:style>
  <w:style w:styleId="Style_44_ch" w:type="character">
    <w:name w:val="footnote reference"/>
    <w:link w:val="Style_44"/>
    <w:rPr>
      <w:vertAlign w:val="superscript"/>
    </w:rPr>
  </w:style>
  <w:style w:styleId="Style_45" w:type="paragraph">
    <w:name w:val="Subtitle"/>
    <w:next w:val="Style_1"/>
    <w:link w:val="Style_45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45_ch" w:type="character">
    <w:name w:val="Subtitle"/>
    <w:link w:val="Style_45"/>
    <w:rPr>
      <w:rFonts w:ascii="XO Thames" w:hAnsi="XO Thames"/>
      <w:i w:val="1"/>
      <w:sz w:val="24"/>
    </w:rPr>
  </w:style>
  <w:style w:styleId="Style_46" w:type="paragraph">
    <w:name w:val="endnote reference"/>
    <w:basedOn w:val="Style_3"/>
    <w:link w:val="Style_46_ch"/>
    <w:rPr>
      <w:vertAlign w:val="superscript"/>
    </w:rPr>
  </w:style>
  <w:style w:styleId="Style_46_ch" w:type="character">
    <w:name w:val="endnote reference"/>
    <w:basedOn w:val="Style_3_ch"/>
    <w:link w:val="Style_46"/>
    <w:rPr>
      <w:vertAlign w:val="superscript"/>
    </w:rPr>
  </w:style>
  <w:style w:styleId="Style_47" w:type="paragraph">
    <w:name w:val="Normal (Web)"/>
    <w:basedOn w:val="Style_1"/>
    <w:link w:val="Style_47_ch"/>
    <w:pPr>
      <w:spacing w:after="240" w:before="240" w:line="240" w:lineRule="auto"/>
      <w:ind w:firstLine="709" w:left="0"/>
      <w:jc w:val="both"/>
    </w:pPr>
    <w:rPr>
      <w:rFonts w:ascii="Times New Roman" w:hAnsi="Times New Roman"/>
      <w:sz w:val="24"/>
    </w:rPr>
  </w:style>
  <w:style w:styleId="Style_47_ch" w:type="character">
    <w:name w:val="Normal (Web)"/>
    <w:basedOn w:val="Style_1_ch"/>
    <w:link w:val="Style_47"/>
    <w:rPr>
      <w:rFonts w:ascii="Times New Roman" w:hAnsi="Times New Roman"/>
      <w:sz w:val="24"/>
    </w:rPr>
  </w:style>
  <w:style w:styleId="Style_48" w:type="paragraph">
    <w:name w:val="Title"/>
    <w:next w:val="Style_1"/>
    <w:link w:val="Style_48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48_ch" w:type="character">
    <w:name w:val="Title"/>
    <w:link w:val="Style_48"/>
    <w:rPr>
      <w:rFonts w:ascii="XO Thames" w:hAnsi="XO Thames"/>
      <w:b w:val="1"/>
      <w:caps w:val="1"/>
      <w:sz w:val="40"/>
    </w:rPr>
  </w:style>
  <w:style w:styleId="Style_49" w:type="paragraph">
    <w:name w:val="heading 4"/>
    <w:next w:val="Style_1"/>
    <w:link w:val="Style_49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49_ch" w:type="character">
    <w:name w:val="heading 4"/>
    <w:link w:val="Style_49"/>
    <w:rPr>
      <w:rFonts w:ascii="XO Thames" w:hAnsi="XO Thames"/>
      <w:b w:val="1"/>
      <w:sz w:val="24"/>
    </w:rPr>
  </w:style>
  <w:style w:styleId="Style_50" w:type="paragraph">
    <w:name w:val="Font Style12"/>
    <w:link w:val="Style_50_ch"/>
    <w:rPr>
      <w:rFonts w:ascii="Times New Roman" w:hAnsi="Times New Roman"/>
      <w:sz w:val="24"/>
    </w:rPr>
  </w:style>
  <w:style w:styleId="Style_50_ch" w:type="character">
    <w:name w:val="Font Style12"/>
    <w:link w:val="Style_50"/>
    <w:rPr>
      <w:rFonts w:ascii="Times New Roman" w:hAnsi="Times New Roman"/>
      <w:sz w:val="24"/>
    </w:rPr>
  </w:style>
  <w:style w:styleId="Style_51" w:type="paragraph">
    <w:name w:val="heading 2"/>
    <w:next w:val="Style_1"/>
    <w:link w:val="Style_5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51_ch" w:type="character">
    <w:name w:val="heading 2"/>
    <w:link w:val="Style_51"/>
    <w:rPr>
      <w:rFonts w:ascii="XO Thames" w:hAnsi="XO Thames"/>
      <w:b w:val="1"/>
      <w:sz w:val="28"/>
    </w:rPr>
  </w:style>
  <w:style w:styleId="Style_52" w:type="table">
    <w:name w:val="Сетка таблицы1"/>
    <w:basedOn w:val="Style_5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4" w:type="table">
    <w:name w:val="Сетка таблицы4"/>
    <w:basedOn w:val="Style_5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5" w:type="table">
    <w:name w:val="Сетка таблицы11"/>
    <w:basedOn w:val="Style_5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6" w:type="table">
    <w:name w:val="Сетка таблицы3"/>
    <w:basedOn w:val="Style_5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7" w:type="table">
    <w:name w:val="Сетка таблицы5"/>
    <w:basedOn w:val="Style_53"/>
    <w:pPr>
      <w:spacing w:after="0" w:line="240" w:lineRule="auto"/>
      <w:ind/>
    </w:pPr>
    <w:rPr>
      <w:rFonts w:ascii="Times New Roman" w:hAnsi="Times New Roman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8" w:type="table">
    <w:name w:val="Сетка таблицы6"/>
    <w:basedOn w:val="Style_5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59" w:type="table">
    <w:name w:val="Сетка таблицы9"/>
    <w:basedOn w:val="Style_53"/>
    <w:pPr>
      <w:spacing w:after="0" w:line="240" w:lineRule="auto"/>
      <w:ind/>
      <w:jc w:val="center"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0" w:type="table">
    <w:name w:val="Table Grid"/>
    <w:basedOn w:val="Style_53"/>
    <w:pPr>
      <w:spacing w:after="0" w:line="240" w:lineRule="auto"/>
      <w:ind/>
    </w:pPr>
    <w:rPr>
      <w:rFonts w:ascii="Calibri" w:hAnsi="Calibri"/>
      <w:sz w:val="20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1" w:type="table">
    <w:name w:val="Сетка таблицы8"/>
    <w:basedOn w:val="Style_5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2" w:type="table">
    <w:name w:val="Сетка таблицы10"/>
    <w:basedOn w:val="Style_5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5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63" w:type="table">
    <w:name w:val="Сетка таблицы7"/>
    <w:basedOn w:val="Style_5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64" w:type="table">
    <w:name w:val="Сетка таблицы2"/>
    <w:basedOn w:val="Style_53"/>
    <w:pPr>
      <w:spacing w:after="0" w:line="240" w:lineRule="auto"/>
      <w:ind/>
    </w:pPr>
    <w:rPr>
      <w:rFonts w:ascii="Calibri" w:hAnsi="Calibri"/>
    </w:r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MyOffice-CoreFramework-Linux/32-1208.815.9166.836.1@c028b4579ab889516ede6e689f46f6dad43bf900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2025-09-11T09:37:27Z</dcterms:modified>
</cp:coreProperties>
</file>